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AC" w:rsidRPr="006A48AC" w:rsidRDefault="00D14D35" w:rsidP="008B3AF0">
      <w:pPr>
        <w:jc w:val="center"/>
        <w:rPr>
          <w:rFonts w:ascii="Bradley Hand ITC" w:eastAsia="Batang" w:hAnsi="Bradley Hand ITC"/>
          <w:b/>
        </w:rPr>
      </w:pPr>
      <w:r w:rsidRPr="008B3AF0">
        <w:rPr>
          <w:rFonts w:ascii="Ravie" w:hAnsi="Ravie"/>
          <w:color w:val="215868" w:themeColor="accent5" w:themeShade="80"/>
          <w:sz w:val="36"/>
          <w:szCs w:val="36"/>
        </w:rPr>
        <w:t xml:space="preserve">Laurence </w:t>
      </w:r>
      <w:proofErr w:type="spellStart"/>
      <w:r w:rsidRPr="008B3AF0">
        <w:rPr>
          <w:rFonts w:ascii="Ravie" w:hAnsi="Ravie"/>
          <w:color w:val="215868" w:themeColor="accent5" w:themeShade="80"/>
          <w:sz w:val="36"/>
          <w:szCs w:val="36"/>
        </w:rPr>
        <w:t>Mériat</w:t>
      </w:r>
      <w:proofErr w:type="spellEnd"/>
      <w:r w:rsidRPr="008B3AF0">
        <w:rPr>
          <w:rFonts w:ascii="Ravie" w:hAnsi="Ravie"/>
          <w:color w:val="215868" w:themeColor="accent5" w:themeShade="80"/>
          <w:sz w:val="36"/>
          <w:szCs w:val="36"/>
        </w:rPr>
        <w:t xml:space="preserve"> et Delphine Laignel</w:t>
      </w:r>
      <w:r w:rsidRPr="008B3AF0">
        <w:rPr>
          <w:color w:val="215868" w:themeColor="accent5" w:themeShade="80"/>
        </w:rPr>
        <w:t xml:space="preserve"> </w:t>
      </w:r>
      <w:r>
        <w:br/>
      </w:r>
      <w:r w:rsidRPr="006A48AC">
        <w:rPr>
          <w:rFonts w:ascii="Bradley Hand ITC" w:eastAsia="Batang" w:hAnsi="Bradley Hand ITC"/>
          <w:b/>
        </w:rPr>
        <w:t>Expo photos</w:t>
      </w:r>
      <w:r w:rsidR="0074445E" w:rsidRPr="006A48AC">
        <w:rPr>
          <w:rFonts w:ascii="Bradley Hand ITC" w:eastAsia="Batang" w:hAnsi="Bradley Hand ITC"/>
          <w:b/>
        </w:rPr>
        <w:t xml:space="preserve"> dans le cadre du parcours photographique </w:t>
      </w:r>
    </w:p>
    <w:p w:rsidR="00D14D35" w:rsidRPr="006A48AC" w:rsidRDefault="008B3AF0" w:rsidP="008B3AF0">
      <w:pPr>
        <w:jc w:val="center"/>
        <w:rPr>
          <w:rFonts w:ascii="Bradley Hand ITC" w:eastAsia="Batang" w:hAnsi="Bradley Hand ITC"/>
        </w:rPr>
      </w:pPr>
      <w:r w:rsidRPr="006A48AC">
        <w:rPr>
          <w:rFonts w:ascii="Bradley Hand ITC" w:eastAsia="Batang" w:hAnsi="Bradley Hand ITC"/>
          <w:b/>
        </w:rPr>
        <w:t>« </w:t>
      </w:r>
      <w:r w:rsidR="0074445E" w:rsidRPr="006A48AC">
        <w:rPr>
          <w:rFonts w:ascii="Bradley Hand ITC" w:eastAsia="Batang" w:hAnsi="Bradley Hand ITC"/>
          <w:b/>
        </w:rPr>
        <w:t xml:space="preserve">Are You </w:t>
      </w:r>
      <w:proofErr w:type="spellStart"/>
      <w:r w:rsidR="0074445E" w:rsidRPr="006A48AC">
        <w:rPr>
          <w:rFonts w:ascii="Bradley Hand ITC" w:eastAsia="Batang" w:hAnsi="Bradley Hand ITC"/>
          <w:b/>
        </w:rPr>
        <w:t>Experiencing</w:t>
      </w:r>
      <w:proofErr w:type="spellEnd"/>
      <w:r w:rsidRPr="006A48AC">
        <w:rPr>
          <w:rFonts w:ascii="Bradley Hand ITC" w:eastAsia="Batang" w:hAnsi="Bradley Hand ITC"/>
          <w:b/>
        </w:rPr>
        <w:t> » 2011</w:t>
      </w:r>
    </w:p>
    <w:p w:rsidR="00AE1019" w:rsidRDefault="00AE1019" w:rsidP="008B3AF0">
      <w:pPr>
        <w:jc w:val="center"/>
        <w:rPr>
          <w:rFonts w:ascii="Bradley Hand ITC" w:eastAsia="Batang" w:hAnsi="Bradley Hand ITC"/>
        </w:rPr>
      </w:pPr>
    </w:p>
    <w:p w:rsidR="00AE1019" w:rsidRDefault="008B3AF0" w:rsidP="00AE1019">
      <w:pPr>
        <w:jc w:val="center"/>
        <w:rPr>
          <w:rFonts w:ascii="Ravie" w:hAnsi="Ravie"/>
          <w:i/>
          <w:color w:val="31849B" w:themeColor="accent5" w:themeShade="BF"/>
          <w:sz w:val="40"/>
          <w:szCs w:val="40"/>
        </w:rPr>
      </w:pPr>
      <w:r w:rsidRPr="008B3AF0">
        <w:rPr>
          <w:rFonts w:ascii="Ravie" w:hAnsi="Ravie"/>
          <w:i/>
          <w:color w:val="31849B" w:themeColor="accent5" w:themeShade="BF"/>
          <w:sz w:val="40"/>
          <w:szCs w:val="40"/>
        </w:rPr>
        <w:t>« </w:t>
      </w:r>
      <w:r w:rsidR="00D14D35" w:rsidRPr="008B3AF0">
        <w:rPr>
          <w:rFonts w:ascii="Ravie" w:hAnsi="Ravie"/>
          <w:i/>
          <w:color w:val="31849B" w:themeColor="accent5" w:themeShade="BF"/>
          <w:sz w:val="40"/>
          <w:szCs w:val="40"/>
        </w:rPr>
        <w:t>Lumières particulières</w:t>
      </w:r>
      <w:r w:rsidR="00AE1019">
        <w:rPr>
          <w:rFonts w:ascii="Ravie" w:hAnsi="Ravie"/>
          <w:i/>
          <w:color w:val="31849B" w:themeColor="accent5" w:themeShade="BF"/>
          <w:sz w:val="40"/>
          <w:szCs w:val="40"/>
        </w:rPr>
        <w:t> »</w:t>
      </w:r>
    </w:p>
    <w:p w:rsidR="006A48AC" w:rsidRDefault="006A48AC" w:rsidP="00AE1019">
      <w:pPr>
        <w:jc w:val="center"/>
        <w:rPr>
          <w:rFonts w:ascii="Bradley Hand ITC" w:eastAsia="Batang" w:hAnsi="Bradley Hand ITC"/>
          <w:b/>
          <w:sz w:val="28"/>
          <w:szCs w:val="28"/>
        </w:rPr>
      </w:pPr>
      <w:r>
        <w:rPr>
          <w:rFonts w:ascii="Bradley Hand ITC" w:eastAsia="Batang" w:hAnsi="Bradley Hand ITC"/>
          <w:b/>
          <w:sz w:val="28"/>
          <w:szCs w:val="28"/>
        </w:rPr>
        <w:t>[Un même thème, deux sensibilités]</w:t>
      </w:r>
    </w:p>
    <w:p w:rsidR="006A48AC" w:rsidRDefault="006A48AC" w:rsidP="00AE1019">
      <w:pPr>
        <w:jc w:val="center"/>
        <w:rPr>
          <w:rFonts w:ascii="Bradley Hand ITC" w:eastAsia="Batang" w:hAnsi="Bradley Hand ITC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4E8264" wp14:editId="23ECF844">
            <wp:simplePos x="0" y="0"/>
            <wp:positionH relativeFrom="margin">
              <wp:posOffset>-38100</wp:posOffset>
            </wp:positionH>
            <wp:positionV relativeFrom="margin">
              <wp:posOffset>2550795</wp:posOffset>
            </wp:positionV>
            <wp:extent cx="3171825" cy="3171825"/>
            <wp:effectExtent l="171450" t="171450" r="390525" b="3714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547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A48AC" w:rsidRDefault="006A48AC" w:rsidP="00AE1019">
      <w:pPr>
        <w:jc w:val="center"/>
        <w:rPr>
          <w:rFonts w:ascii="Bradley Hand ITC" w:eastAsia="Batang" w:hAnsi="Bradley Hand ITC"/>
          <w:b/>
          <w:sz w:val="28"/>
          <w:szCs w:val="28"/>
        </w:rPr>
      </w:pPr>
    </w:p>
    <w:p w:rsidR="006A48AC" w:rsidRDefault="00AE1019" w:rsidP="00AE1019">
      <w:pPr>
        <w:jc w:val="center"/>
        <w:rPr>
          <w:rFonts w:ascii="Bradley Hand ITC" w:eastAsia="Batang" w:hAnsi="Bradley Hand ITC"/>
          <w:b/>
          <w:sz w:val="28"/>
          <w:szCs w:val="28"/>
        </w:rPr>
      </w:pPr>
      <w:r w:rsidRPr="006A48AC">
        <w:rPr>
          <w:rFonts w:ascii="Bradley Hand ITC" w:eastAsia="Batang" w:hAnsi="Bradley Hand ITC"/>
          <w:b/>
          <w:sz w:val="28"/>
          <w:szCs w:val="28"/>
        </w:rPr>
        <w:t xml:space="preserve">Du 26 mars 2011 </w:t>
      </w:r>
    </w:p>
    <w:p w:rsidR="00AE1019" w:rsidRPr="006A48AC" w:rsidRDefault="00AE1019" w:rsidP="00AE1019">
      <w:pPr>
        <w:jc w:val="center"/>
        <w:rPr>
          <w:rFonts w:ascii="Bradley Hand ITC" w:eastAsia="Batang" w:hAnsi="Bradley Hand ITC"/>
          <w:b/>
          <w:sz w:val="28"/>
          <w:szCs w:val="28"/>
        </w:rPr>
      </w:pPr>
      <w:proofErr w:type="gramStart"/>
      <w:r w:rsidRPr="006A48AC">
        <w:rPr>
          <w:rFonts w:ascii="Bradley Hand ITC" w:eastAsia="Batang" w:hAnsi="Bradley Hand ITC"/>
          <w:b/>
          <w:sz w:val="28"/>
          <w:szCs w:val="28"/>
        </w:rPr>
        <w:t>au</w:t>
      </w:r>
      <w:proofErr w:type="gramEnd"/>
      <w:r w:rsidRPr="006A48AC">
        <w:rPr>
          <w:rFonts w:ascii="Bradley Hand ITC" w:eastAsia="Batang" w:hAnsi="Bradley Hand ITC"/>
          <w:b/>
          <w:sz w:val="28"/>
          <w:szCs w:val="28"/>
        </w:rPr>
        <w:t xml:space="preserve"> 16 avril 2011</w:t>
      </w:r>
    </w:p>
    <w:p w:rsidR="006A48AC" w:rsidRPr="00BB5AD3" w:rsidRDefault="006A48AC" w:rsidP="006A48AC">
      <w:pPr>
        <w:jc w:val="center"/>
        <w:rPr>
          <w:rFonts w:ascii="Bradley Hand ITC" w:eastAsia="Batang" w:hAnsi="Bradley Hand ITC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904C821" wp14:editId="377E5841">
            <wp:simplePos x="0" y="0"/>
            <wp:positionH relativeFrom="margin">
              <wp:posOffset>2751455</wp:posOffset>
            </wp:positionH>
            <wp:positionV relativeFrom="margin">
              <wp:posOffset>4675505</wp:posOffset>
            </wp:positionV>
            <wp:extent cx="3133725" cy="3136900"/>
            <wp:effectExtent l="171450" t="171450" r="390525" b="36830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ld I Stay or Should I 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B5AD3">
        <w:rPr>
          <w:rFonts w:ascii="Bradley Hand ITC" w:eastAsia="Batang" w:hAnsi="Bradley Hand ITC"/>
          <w:b/>
          <w:sz w:val="24"/>
          <w:szCs w:val="24"/>
        </w:rPr>
        <w:t>Du lundi au samedi de 10h à 18h</w:t>
      </w:r>
    </w:p>
    <w:p w:rsidR="006A48AC" w:rsidRPr="00AE1019" w:rsidRDefault="006A48AC" w:rsidP="00AE1019">
      <w:pPr>
        <w:jc w:val="center"/>
        <w:rPr>
          <w:rFonts w:ascii="Bradley Hand ITC" w:eastAsia="Batang" w:hAnsi="Bradley Hand ITC"/>
          <w:b/>
        </w:rPr>
      </w:pPr>
      <w:bookmarkStart w:id="0" w:name="_GoBack"/>
      <w:bookmarkEnd w:id="0"/>
    </w:p>
    <w:p w:rsidR="0074445E" w:rsidRPr="006A48AC" w:rsidRDefault="0074445E" w:rsidP="00AE1019">
      <w:pPr>
        <w:jc w:val="center"/>
        <w:rPr>
          <w:rFonts w:ascii="Bradley Hand ITC" w:eastAsia="Batang" w:hAnsi="Bradley Hand ITC"/>
          <w:b/>
          <w:sz w:val="32"/>
          <w:szCs w:val="32"/>
        </w:rPr>
      </w:pPr>
      <w:r w:rsidRPr="006A48AC">
        <w:rPr>
          <w:rFonts w:ascii="Bradley Hand ITC" w:eastAsia="Batang" w:hAnsi="Bradley Hand ITC"/>
          <w:b/>
          <w:sz w:val="32"/>
          <w:szCs w:val="32"/>
        </w:rPr>
        <w:t>Cabinet d’Architecture Archipel</w:t>
      </w:r>
    </w:p>
    <w:p w:rsidR="0074445E" w:rsidRPr="006A48AC" w:rsidRDefault="0074445E" w:rsidP="00AE1019">
      <w:pPr>
        <w:jc w:val="center"/>
        <w:rPr>
          <w:rFonts w:ascii="Bradley Hand ITC" w:eastAsia="Batang" w:hAnsi="Bradley Hand ITC"/>
          <w:b/>
          <w:sz w:val="32"/>
          <w:szCs w:val="32"/>
        </w:rPr>
      </w:pPr>
      <w:r w:rsidRPr="006A48AC">
        <w:rPr>
          <w:rFonts w:ascii="Bradley Hand ITC" w:eastAsia="Batang" w:hAnsi="Bradley Hand ITC"/>
          <w:b/>
          <w:sz w:val="32"/>
          <w:szCs w:val="32"/>
        </w:rPr>
        <w:t>41 rue d’Iéna</w:t>
      </w:r>
    </w:p>
    <w:p w:rsidR="006A48AC" w:rsidRPr="006A48AC" w:rsidRDefault="0074445E" w:rsidP="00AE1019">
      <w:pPr>
        <w:jc w:val="center"/>
        <w:rPr>
          <w:rFonts w:ascii="Bradley Hand ITC" w:eastAsia="Batang" w:hAnsi="Bradley Hand ITC"/>
          <w:b/>
          <w:sz w:val="32"/>
          <w:szCs w:val="32"/>
        </w:rPr>
      </w:pPr>
      <w:r w:rsidRPr="006A48AC">
        <w:rPr>
          <w:rFonts w:ascii="Bradley Hand ITC" w:eastAsia="Batang" w:hAnsi="Bradley Hand ITC"/>
          <w:b/>
          <w:sz w:val="32"/>
          <w:szCs w:val="32"/>
        </w:rPr>
        <w:t>76600 LE HAVRE</w:t>
      </w:r>
    </w:p>
    <w:p w:rsidR="0074445E" w:rsidRDefault="0074445E"/>
    <w:p w:rsidR="0074445E" w:rsidRDefault="0074445E"/>
    <w:p w:rsidR="00D14D35" w:rsidRDefault="00D14D35"/>
    <w:sectPr w:rsidR="00D14D35" w:rsidSect="008B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35"/>
    <w:rsid w:val="002462D3"/>
    <w:rsid w:val="006129CC"/>
    <w:rsid w:val="006A48AC"/>
    <w:rsid w:val="0074445E"/>
    <w:rsid w:val="008B3AF0"/>
    <w:rsid w:val="00AE1019"/>
    <w:rsid w:val="00BB5AD3"/>
    <w:rsid w:val="00D14D35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1214-00A3-4170-ABBC-985B0310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LAIGNEL</dc:creator>
  <cp:lastModifiedBy>Delphine LAIGNEL</cp:lastModifiedBy>
  <cp:revision>6</cp:revision>
  <cp:lastPrinted>2011-03-13T17:50:00Z</cp:lastPrinted>
  <dcterms:created xsi:type="dcterms:W3CDTF">2011-02-18T18:06:00Z</dcterms:created>
  <dcterms:modified xsi:type="dcterms:W3CDTF">2011-03-13T17:51:00Z</dcterms:modified>
</cp:coreProperties>
</file>